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7F2D" w14:textId="77777777" w:rsidR="00FB386F" w:rsidRPr="00FB386F" w:rsidRDefault="00FB386F" w:rsidP="00FB386F">
      <w:pPr>
        <w:pStyle w:val="Title"/>
        <w:rPr>
          <w:sz w:val="48"/>
          <w:szCs w:val="48"/>
        </w:rPr>
      </w:pPr>
      <w:r w:rsidRPr="00FB386F">
        <w:rPr>
          <w:sz w:val="48"/>
          <w:szCs w:val="48"/>
        </w:rPr>
        <w:t xml:space="preserve">How does OLIS achieve a single spectrophotometer which optimizes for CD, CPL, and anisotropy? </w:t>
      </w:r>
    </w:p>
    <w:p w14:paraId="609F6D82" w14:textId="77777777" w:rsidR="00FB386F" w:rsidRPr="00FB386F" w:rsidRDefault="00FB386F" w:rsidP="00FB386F">
      <w:pPr>
        <w:pStyle w:val="Title"/>
        <w:rPr>
          <w:sz w:val="48"/>
          <w:szCs w:val="48"/>
        </w:rPr>
      </w:pPr>
    </w:p>
    <w:p w14:paraId="7DC0492A" w14:textId="2A38D065" w:rsidR="00FB386F" w:rsidRPr="00FB386F" w:rsidRDefault="00FB386F" w:rsidP="00FB386F">
      <w:pPr>
        <w:pStyle w:val="Title"/>
        <w:rPr>
          <w:rFonts w:ascii="Palatino Linotype" w:eastAsia="Times New Roman" w:hAnsi="Palatino Linotype"/>
          <w:sz w:val="40"/>
          <w:szCs w:val="40"/>
        </w:rPr>
      </w:pPr>
      <w:r w:rsidRPr="00FB386F">
        <w:rPr>
          <w:rFonts w:ascii="Palatino Linotype" w:eastAsia="Times New Roman" w:hAnsi="Palatino Linotype"/>
          <w:sz w:val="40"/>
          <w:szCs w:val="40"/>
        </w:rPr>
        <w:t>We call the answer our “Polarization Toolbox.”</w:t>
      </w:r>
    </w:p>
    <w:p w14:paraId="782F4474" w14:textId="77777777" w:rsidR="00FB386F" w:rsidRPr="00FB386F" w:rsidRDefault="00FB386F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</w:p>
    <w:p w14:paraId="2E21336E" w14:textId="3E919B07" w:rsidR="00FB386F" w:rsidRDefault="0044603D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The </w:t>
      </w:r>
      <w:r w:rsidRPr="00FB386F">
        <w:rPr>
          <w:rFonts w:ascii="Palatino Linotype" w:eastAsia="Times New Roman" w:hAnsi="Palatino Linotype" w:cs="Lucida Sans Unicode"/>
          <w:b/>
          <w:bCs/>
          <w:color w:val="333333"/>
          <w:sz w:val="28"/>
          <w:szCs w:val="28"/>
        </w:rPr>
        <w:t>Polarization Toolbox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</w:t>
      </w:r>
      <w:r w:rsid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is a sample compartment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developed to allow immediate and fail-safe positioning of polarizer</w:t>
      </w:r>
      <w:r w:rsidR="00412B25">
        <w:rPr>
          <w:rFonts w:ascii="Palatino Linotype" w:eastAsia="Times New Roman" w:hAnsi="Palatino Linotype" w:cs="Lucida Sans Unicode"/>
          <w:color w:val="333333"/>
          <w:sz w:val="28"/>
          <w:szCs w:val="28"/>
        </w:rPr>
        <w:t>(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s</w:t>
      </w:r>
      <w:r w:rsidR="00412B25">
        <w:rPr>
          <w:rFonts w:ascii="Palatino Linotype" w:eastAsia="Times New Roman" w:hAnsi="Palatino Linotype" w:cs="Lucida Sans Unicode"/>
          <w:color w:val="333333"/>
          <w:sz w:val="28"/>
          <w:szCs w:val="28"/>
        </w:rPr>
        <w:t>)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and a modulator before or after the sample</w:t>
      </w:r>
      <w:r w:rsid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. </w:t>
      </w:r>
      <w:r w:rsidR="00412B25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Let’s call this </w:t>
      </w:r>
      <w:proofErr w:type="spellStart"/>
      <w:r w:rsidR="00412B25">
        <w:rPr>
          <w:rFonts w:ascii="Palatino Linotype" w:eastAsia="Times New Roman" w:hAnsi="Palatino Linotype" w:cs="Lucida Sans Unicode"/>
          <w:color w:val="333333"/>
          <w:sz w:val="28"/>
          <w:szCs w:val="28"/>
        </w:rPr>
        <w:t>positionable</w:t>
      </w:r>
      <w:proofErr w:type="spellEnd"/>
      <w:r w:rsidR="00412B25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polarization hardware a “Polarization Modulator Assembly” or PMA.</w:t>
      </w:r>
    </w:p>
    <w:p w14:paraId="6FC604AC" w14:textId="2D16E7C7" w:rsidR="0044603D" w:rsidRPr="00FB386F" w:rsidRDefault="00412B25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If the PMA is before the sample, thereby </w:t>
      </w:r>
      <w:r w:rsid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polariz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ing </w:t>
      </w:r>
      <w:r w:rsid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the incoming light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, the Toolbox is producing </w:t>
      </w:r>
      <w:r w:rsid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CD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. If the PMA is after the sample, the polarized emission light is being detected for </w:t>
      </w:r>
      <w:r w:rsid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CPL and 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anisotropy.</w:t>
      </w:r>
      <w:r w:rsid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</w:t>
      </w:r>
    </w:p>
    <w:p w14:paraId="71C4411A" w14:textId="62C67E2E" w:rsidR="00FB386F" w:rsidRDefault="0044603D" w:rsidP="003A66DB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T</w:t>
      </w:r>
      <w:r w:rsid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his document focuses on the emission measurements.</w:t>
      </w:r>
    </w:p>
    <w:p w14:paraId="09B7DF33" w14:textId="77777777" w:rsidR="00091588" w:rsidRDefault="00091588" w:rsidP="00091588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With a vertically polarized excitation and where </w:t>
      </w:r>
      <w:r w:rsidRPr="00091588">
        <w:rPr>
          <w:sz w:val="24"/>
          <w:szCs w:val="24"/>
        </w:rPr>
        <w:t>I</w:t>
      </w:r>
      <w:proofErr w:type="gramStart"/>
      <w:r w:rsidRPr="00091588">
        <w:rPr>
          <w:sz w:val="36"/>
          <w:szCs w:val="36"/>
          <w:vertAlign w:val="subscript"/>
        </w:rPr>
        <w:t>‖</w:t>
      </w:r>
      <w:r w:rsidRPr="00091588">
        <w:t xml:space="preserve"> 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</w:t>
      </w:r>
      <w:r w:rsidRPr="00091588">
        <w:rPr>
          <w:sz w:val="28"/>
          <w:szCs w:val="28"/>
        </w:rPr>
        <w:t xml:space="preserve"> I</w:t>
      </w:r>
      <w:r w:rsidRPr="00091588">
        <w:rPr>
          <w:noProof/>
          <w:sz w:val="28"/>
          <w:szCs w:val="28"/>
        </w:rPr>
        <w:drawing>
          <wp:inline distT="0" distB="0" distL="0" distR="0" wp14:anchorId="3814CBF3" wp14:editId="10E105D1">
            <wp:extent cx="91440" cy="91440"/>
            <wp:effectExtent l="0" t="0" r="3810" b="381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are the intensities of the vertically &amp; horizontally polarized emission.</w:t>
      </w:r>
    </w:p>
    <w:p w14:paraId="73315063" w14:textId="6577027C" w:rsidR="00412B25" w:rsidRPr="00091588" w:rsidRDefault="00091588" w:rsidP="0009158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F</w:t>
      </w:r>
      <w:r w:rsidR="00412B25" w:rsidRPr="00091588">
        <w:rPr>
          <w:sz w:val="28"/>
          <w:szCs w:val="28"/>
        </w:rPr>
        <w:t xml:space="preserve">luorescence anisotropy (r) </w:t>
      </w:r>
      <w:r w:rsidRPr="00091588">
        <w:rPr>
          <w:sz w:val="28"/>
          <w:szCs w:val="28"/>
        </w:rPr>
        <w:t xml:space="preserve">: </w:t>
      </w:r>
      <w:r w:rsidR="00412B25" w:rsidRPr="00091588">
        <w:rPr>
          <w:sz w:val="28"/>
          <w:szCs w:val="28"/>
        </w:rPr>
        <w:t xml:space="preserve">  r = (</w:t>
      </w:r>
      <w:r w:rsidR="00412B25" w:rsidRPr="00091588">
        <w:rPr>
          <w:sz w:val="24"/>
          <w:szCs w:val="24"/>
        </w:rPr>
        <w:t>I</w:t>
      </w:r>
      <w:r w:rsidR="00412B25" w:rsidRPr="00091588">
        <w:rPr>
          <w:sz w:val="36"/>
          <w:szCs w:val="36"/>
          <w:vertAlign w:val="subscript"/>
        </w:rPr>
        <w:t>‖</w:t>
      </w:r>
      <w:r w:rsidR="00412B25" w:rsidRPr="00091588">
        <w:t xml:space="preserve"> </w:t>
      </w:r>
      <w:r w:rsidR="00412B25" w:rsidRPr="00091588">
        <w:rPr>
          <w:sz w:val="28"/>
          <w:szCs w:val="28"/>
        </w:rPr>
        <w:t>– I</w:t>
      </w:r>
      <w:r w:rsidR="00412B25" w:rsidRPr="00091588">
        <w:rPr>
          <w:noProof/>
          <w:sz w:val="28"/>
          <w:szCs w:val="28"/>
        </w:rPr>
        <w:drawing>
          <wp:inline distT="0" distB="0" distL="0" distR="0" wp14:anchorId="77B68961" wp14:editId="72C58CA1">
            <wp:extent cx="91440" cy="91440"/>
            <wp:effectExtent l="0" t="0" r="3810" b="381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B25" w:rsidRPr="00091588">
        <w:rPr>
          <w:sz w:val="28"/>
          <w:szCs w:val="28"/>
        </w:rPr>
        <w:t xml:space="preserve"> )/ (</w:t>
      </w:r>
      <w:r w:rsidRPr="00091588">
        <w:rPr>
          <w:sz w:val="28"/>
          <w:szCs w:val="28"/>
        </w:rPr>
        <w:t>I</w:t>
      </w:r>
      <w:r w:rsidRPr="00091588">
        <w:rPr>
          <w:sz w:val="36"/>
          <w:szCs w:val="36"/>
          <w:vertAlign w:val="subscript"/>
        </w:rPr>
        <w:t>‖</w:t>
      </w:r>
      <w:r w:rsidR="00412B25" w:rsidRPr="00091588">
        <w:rPr>
          <w:sz w:val="28"/>
          <w:szCs w:val="28"/>
        </w:rPr>
        <w:t xml:space="preserve"> +2I</w:t>
      </w:r>
      <w:r w:rsidR="00412B25" w:rsidRPr="00091588">
        <w:rPr>
          <w:noProof/>
          <w:sz w:val="28"/>
          <w:szCs w:val="28"/>
        </w:rPr>
        <w:drawing>
          <wp:inline distT="0" distB="0" distL="0" distR="0" wp14:anchorId="54DBF3A7" wp14:editId="151F3586">
            <wp:extent cx="91440" cy="91440"/>
            <wp:effectExtent l="0" t="0" r="3810" b="381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B25" w:rsidRPr="00091588">
        <w:rPr>
          <w:sz w:val="28"/>
          <w:szCs w:val="28"/>
        </w:rPr>
        <w:t>)</w:t>
      </w:r>
    </w:p>
    <w:p w14:paraId="3F4D5148" w14:textId="6F00322B" w:rsidR="00091588" w:rsidRPr="00091588" w:rsidRDefault="00091588" w:rsidP="00091588">
      <w:pPr>
        <w:pStyle w:val="NoSpacing"/>
        <w:ind w:left="720"/>
        <w:rPr>
          <w:sz w:val="28"/>
          <w:szCs w:val="28"/>
        </w:rPr>
      </w:pPr>
      <w:r w:rsidRPr="00091588">
        <w:rPr>
          <w:sz w:val="28"/>
          <w:szCs w:val="28"/>
        </w:rPr>
        <w:t>Polarization of fluorescence (P):    P = (I</w:t>
      </w:r>
      <w:r w:rsidRPr="00091588">
        <w:rPr>
          <w:sz w:val="36"/>
          <w:szCs w:val="36"/>
          <w:vertAlign w:val="subscript"/>
        </w:rPr>
        <w:t>‖</w:t>
      </w:r>
      <w:r w:rsidRPr="00091588">
        <w:t xml:space="preserve"> </w:t>
      </w:r>
      <w:r w:rsidRPr="00091588">
        <w:rPr>
          <w:sz w:val="28"/>
          <w:szCs w:val="28"/>
        </w:rPr>
        <w:t>– I</w:t>
      </w:r>
      <w:r w:rsidRPr="00091588">
        <w:rPr>
          <w:noProof/>
          <w:sz w:val="28"/>
          <w:szCs w:val="28"/>
        </w:rPr>
        <w:drawing>
          <wp:inline distT="0" distB="0" distL="0" distR="0" wp14:anchorId="294C7D0A" wp14:editId="7665AF23">
            <wp:extent cx="91440" cy="91440"/>
            <wp:effectExtent l="0" t="0" r="3810" b="381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588">
        <w:rPr>
          <w:sz w:val="28"/>
          <w:szCs w:val="28"/>
        </w:rPr>
        <w:t xml:space="preserve"> )/ (I</w:t>
      </w:r>
      <w:r w:rsidRPr="00091588">
        <w:rPr>
          <w:sz w:val="36"/>
          <w:szCs w:val="36"/>
          <w:vertAlign w:val="subscript"/>
        </w:rPr>
        <w:t>‖</w:t>
      </w:r>
      <w:r w:rsidRPr="00091588">
        <w:rPr>
          <w:sz w:val="28"/>
          <w:szCs w:val="28"/>
        </w:rPr>
        <w:t xml:space="preserve"> +I</w:t>
      </w:r>
      <w:r w:rsidRPr="00091588">
        <w:rPr>
          <w:noProof/>
          <w:sz w:val="28"/>
          <w:szCs w:val="28"/>
        </w:rPr>
        <w:drawing>
          <wp:inline distT="0" distB="0" distL="0" distR="0" wp14:anchorId="35FCCEFF" wp14:editId="3E9DDB16">
            <wp:extent cx="91440" cy="91440"/>
            <wp:effectExtent l="0" t="0" r="3810" b="381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588">
        <w:rPr>
          <w:sz w:val="28"/>
          <w:szCs w:val="28"/>
        </w:rPr>
        <w:t>)</w:t>
      </w:r>
    </w:p>
    <w:p w14:paraId="2733A42B" w14:textId="11027743" w:rsidR="003A66DB" w:rsidRPr="00FB386F" w:rsidRDefault="00FB386F" w:rsidP="003A66DB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>T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he method for 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emission 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data collection is described in the 19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7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4 Analytical Chemistry paper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, “</w:t>
      </w:r>
      <w:r w:rsidR="003A66DB" w:rsidRPr="00FB386F">
        <w:rPr>
          <w:rFonts w:ascii="Palatino Linotype" w:eastAsia="Times New Roman" w:hAnsi="Palatino Linotype" w:cs="Calibri"/>
          <w:color w:val="333333"/>
          <w:sz w:val="28"/>
          <w:szCs w:val="28"/>
        </w:rPr>
        <w:t>R</w:t>
      </w:r>
      <w:r w:rsidR="003A66DB" w:rsidRPr="00FB386F">
        <w:rPr>
          <w:rFonts w:ascii="Palatino Linotype" w:hAnsi="Palatino Linotype" w:cs="Calibri"/>
          <w:color w:val="000000"/>
          <w:sz w:val="28"/>
          <w:szCs w:val="28"/>
          <w:shd w:val="clear" w:color="auto" w:fill="FFFFFF"/>
        </w:rPr>
        <w:t xml:space="preserve">ecording polarization of fluorescence spectrometer:  Unique application of piezoelectric birefringence modulation,” 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</w:t>
      </w:r>
      <w:hyperlink r:id="rId9" w:history="1">
        <w:r w:rsidR="003A66DB" w:rsidRPr="00FB386F">
          <w:rPr>
            <w:rStyle w:val="Hyperlink"/>
            <w:rFonts w:ascii="Palatino Linotype" w:eastAsia="Times New Roman" w:hAnsi="Palatino Linotype" w:cs="Lucida Sans Unicode"/>
            <w:sz w:val="28"/>
            <w:szCs w:val="28"/>
          </w:rPr>
          <w:t>https://pubs.acs.org/doi/abs/10.1021/ac60340a004</w:t>
        </w:r>
      </w:hyperlink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</w:t>
      </w:r>
    </w:p>
    <w:p w14:paraId="7E716690" w14:textId="70F8174B" w:rsidR="003A66DB" w:rsidRPr="00FB386F" w:rsidRDefault="00FB386F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>DeSa realized that the u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se of “piezoelectric birefringence modulation” 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would 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eliminate the need for two detectors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, rotation of polarizers at each, 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lastRenderedPageBreak/>
        <w:t>and the as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sociated 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four 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G-factor</w:t>
      </w:r>
      <w:r w:rsidR="00416B37">
        <w:rPr>
          <w:rStyle w:val="FootnoteReference"/>
          <w:rFonts w:ascii="Palatino Linotype" w:eastAsia="Times New Roman" w:hAnsi="Palatino Linotype" w:cs="Lucida Sans Unicode"/>
          <w:color w:val="333333"/>
          <w:sz w:val="28"/>
          <w:szCs w:val="28"/>
        </w:rPr>
        <w:footnoteReference w:id="1"/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correction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>s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.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His colleague and co-author, Wampler, wrote the math for this novel advance in polarization measurements.</w:t>
      </w:r>
    </w:p>
    <w:p w14:paraId="1EC7C2C7" w14:textId="285CFA12" w:rsidR="0044603D" w:rsidRPr="00FB386F" w:rsidRDefault="003A66DB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With the</w:t>
      </w:r>
      <w:r w:rsid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ir ‘7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4 method, a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single detector is used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, n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o movement of the polarizer is needed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, and no 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G-factor correction is required for anisotropy or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CPL measurements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. </w:t>
      </w:r>
    </w:p>
    <w:p w14:paraId="77785ED2" w14:textId="189AE026" w:rsidR="003A66DB" w:rsidRPr="00FB386F" w:rsidRDefault="003A66DB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The </w:t>
      </w:r>
      <w:r w:rsid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‘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74 </w:t>
      </w:r>
      <w:r w:rsid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M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ethod simplifies the hardware, eliminates the analog element, and collects the desired data directly and thus perfectly.</w:t>
      </w:r>
    </w:p>
    <w:p w14:paraId="59287EF2" w14:textId="3CA907B6" w:rsidR="001522CF" w:rsidRPr="00FB386F" w:rsidRDefault="001522CF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Richard </w:t>
      </w:r>
      <w:proofErr w:type="spellStart"/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DeSa’s</w:t>
      </w:r>
      <w:proofErr w:type="spellEnd"/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motto: Why do manually what can be done electronically? Electronically is failsafe, easy, perfect.</w:t>
      </w:r>
    </w:p>
    <w:p w14:paraId="1233A269" w14:textId="199EE960" w:rsidR="00FB386F" w:rsidRDefault="00FB386F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>Very commonly, the m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odulator is 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a </w:t>
      </w:r>
      <w:proofErr w:type="spellStart"/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photoelastic</w:t>
      </w:r>
      <w:proofErr w:type="spellEnd"/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modulator</w:t>
      </w:r>
      <w:r w:rsidR="001522CF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(PEM)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,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as is used for circular dichroism. 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This 50 kHz modulation rate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switches the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L &amp; R (or parallel and perpendicular)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polarization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50,000 time per second. 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A PEM is always used for 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CD mode and 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>a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nisotropy 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stopped</w:t>
      </w:r>
      <w:r w:rsidR="003A66DB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-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flow.</w:t>
      </w:r>
      <w:r w:rsidR="001522CF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</w:t>
      </w:r>
    </w:p>
    <w:p w14:paraId="110A1236" w14:textId="055219D6" w:rsidR="000A7512" w:rsidRDefault="00FB386F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The same </w:t>
      </w:r>
      <w:r w:rsidR="008639A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PMA 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>can be moved at a 90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>-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>degree position and used for CPL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. </w:t>
      </w:r>
      <w:r w:rsidR="008639A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For CPL, we commonly choose a 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>quarter</w:t>
      </w:r>
      <w:r w:rsidR="008639A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waveplate </w:t>
      </w:r>
      <w:r w:rsidR="008639A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instead of the PEM, because this frees data collection from the 50 kHz modulation rate. The freedom to collect Lum(L) and Lum(R) at slow speed has considerable advantages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>.</w:t>
      </w:r>
    </w:p>
    <w:p w14:paraId="5FD1DCA2" w14:textId="4EDA30D6" w:rsidR="0044603D" w:rsidRPr="00FB386F" w:rsidRDefault="008639AF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>The following figures show PMA p</w:t>
      </w:r>
      <w:r w:rsidR="00811C36">
        <w:rPr>
          <w:rFonts w:ascii="Palatino Linotype" w:eastAsia="Times New Roman" w:hAnsi="Palatino Linotype" w:cs="Lucida Sans Unicode"/>
          <w:color w:val="333333"/>
          <w:sz w:val="28"/>
          <w:szCs w:val="28"/>
        </w:rPr>
        <w:t>ositioning for the measurements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>. The software does the rest</w:t>
      </w:r>
      <w:r w:rsidR="00811C36">
        <w:rPr>
          <w:rFonts w:ascii="Palatino Linotype" w:eastAsia="Times New Roman" w:hAnsi="Palatino Linotype" w:cs="Lucida Sans Unicode"/>
          <w:color w:val="333333"/>
          <w:sz w:val="28"/>
          <w:szCs w:val="28"/>
        </w:rPr>
        <w:t>:</w:t>
      </w:r>
    </w:p>
    <w:p w14:paraId="64F9A27D" w14:textId="1C68EC4E" w:rsidR="003A66DB" w:rsidRPr="00FB386F" w:rsidRDefault="001522CF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noProof/>
          <w:color w:val="333333"/>
          <w:sz w:val="28"/>
          <w:szCs w:val="28"/>
        </w:rPr>
        <w:lastRenderedPageBreak/>
        <w:drawing>
          <wp:inline distT="0" distB="0" distL="0" distR="0" wp14:anchorId="003E28CF" wp14:editId="56B0E582">
            <wp:extent cx="6353175" cy="481132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837" cy="481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244EC" w14:textId="77777777" w:rsidR="00D24956" w:rsidRDefault="00D24956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</w:p>
    <w:p w14:paraId="765EDED3" w14:textId="5B619C9E" w:rsidR="001522CF" w:rsidRPr="00FB386F" w:rsidRDefault="001522CF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D24956">
        <w:rPr>
          <w:rFonts w:ascii="Palatino Linotype" w:eastAsia="Times New Roman" w:hAnsi="Palatino Linotype" w:cs="Lucida Sans Unicode"/>
          <w:b/>
          <w:bCs/>
          <w:color w:val="333333"/>
          <w:sz w:val="28"/>
          <w:szCs w:val="28"/>
        </w:rPr>
        <w:t>For Anisotropy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, t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he excitation light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(“measurement beam”)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passes through a vertically oriented linear polarizer before striking the sample. </w:t>
      </w:r>
    </w:p>
    <w:p w14:paraId="1FDF0CF6" w14:textId="7C81481F" w:rsidR="0044603D" w:rsidRPr="00FB386F" w:rsidRDefault="0044603D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The light emitted by the sample </w:t>
      </w:r>
      <w:r w:rsidR="001522CF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is captured at 90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>-</w:t>
      </w:r>
      <w:r w:rsidR="001522CF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degrees after it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passes through a 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fixed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polarizer </w:t>
      </w:r>
      <w:r w:rsidR="001522CF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and either a filter (shown) or scanning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monochromator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, and then </w:t>
      </w:r>
      <w:r w:rsidR="001522CF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to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the detector. </w:t>
      </w:r>
    </w:p>
    <w:p w14:paraId="67DF7023" w14:textId="77ED2FB1" w:rsidR="0044603D" w:rsidRPr="00FB386F" w:rsidRDefault="0044603D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Unlike L-format polarization systems 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>which o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ther manufacturers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are limited to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-- in which the polarizer must </w:t>
      </w:r>
      <w:r w:rsidR="001522CF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be </w:t>
      </w:r>
      <w:r w:rsidR="005E1ED1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physically rotated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between the vertical and horizontal positions – the DeSa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>-Wampler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method 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>is more direct, simple, and perfect.</w:t>
      </w:r>
    </w:p>
    <w:p w14:paraId="2CA46C12" w14:textId="5210C262" w:rsidR="000A7512" w:rsidRPr="008639AF" w:rsidRDefault="0044603D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b/>
          <w:bCs/>
          <w:color w:val="333333"/>
          <w:sz w:val="28"/>
          <w:szCs w:val="28"/>
        </w:rPr>
      </w:pPr>
      <w:proofErr w:type="spellStart"/>
      <w:r w:rsidRPr="008639AF">
        <w:rPr>
          <w:rFonts w:ascii="Palatino Linotype" w:eastAsia="Times New Roman" w:hAnsi="Palatino Linotype" w:cs="Lucida Sans Unicode"/>
          <w:b/>
          <w:bCs/>
          <w:color w:val="333333"/>
          <w:sz w:val="28"/>
          <w:szCs w:val="28"/>
        </w:rPr>
        <w:lastRenderedPageBreak/>
        <w:t>DeSa</w:t>
      </w:r>
      <w:r w:rsidR="005E1ED1" w:rsidRPr="008639AF">
        <w:rPr>
          <w:rFonts w:ascii="Palatino Linotype" w:eastAsia="Times New Roman" w:hAnsi="Palatino Linotype" w:cs="Lucida Sans Unicode"/>
          <w:b/>
          <w:bCs/>
          <w:color w:val="333333"/>
          <w:sz w:val="28"/>
          <w:szCs w:val="28"/>
        </w:rPr>
        <w:t>’s</w:t>
      </w:r>
      <w:proofErr w:type="spellEnd"/>
      <w:r w:rsidR="005E1ED1" w:rsidRPr="008639AF">
        <w:rPr>
          <w:rFonts w:ascii="Palatino Linotype" w:eastAsia="Times New Roman" w:hAnsi="Palatino Linotype" w:cs="Lucida Sans Unicode"/>
          <w:b/>
          <w:bCs/>
          <w:color w:val="333333"/>
          <w:sz w:val="28"/>
          <w:szCs w:val="28"/>
        </w:rPr>
        <w:t xml:space="preserve"> utilization of a modulator</w:t>
      </w:r>
      <w:r w:rsidR="005E1ED1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– a 50 kHz </w:t>
      </w:r>
      <w:proofErr w:type="spellStart"/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photoelastic</w:t>
      </w:r>
      <w:proofErr w:type="spellEnd"/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modular (PEM), liquid crystal variable retarder (LCVR), or waveplate -- </w:t>
      </w:r>
      <w:r w:rsidRPr="008639AF">
        <w:rPr>
          <w:rFonts w:ascii="Palatino Linotype" w:eastAsia="Times New Roman" w:hAnsi="Palatino Linotype" w:cs="Lucida Sans Unicode"/>
          <w:b/>
          <w:bCs/>
          <w:color w:val="333333"/>
          <w:sz w:val="28"/>
          <w:szCs w:val="28"/>
        </w:rPr>
        <w:t>rotate</w:t>
      </w:r>
      <w:r w:rsidR="005E1ED1" w:rsidRPr="008639AF">
        <w:rPr>
          <w:rFonts w:ascii="Palatino Linotype" w:eastAsia="Times New Roman" w:hAnsi="Palatino Linotype" w:cs="Lucida Sans Unicode"/>
          <w:b/>
          <w:bCs/>
          <w:color w:val="333333"/>
          <w:sz w:val="28"/>
          <w:szCs w:val="28"/>
        </w:rPr>
        <w:t>s</w:t>
      </w:r>
      <w:r w:rsidRPr="008639AF">
        <w:rPr>
          <w:rFonts w:ascii="Palatino Linotype" w:eastAsia="Times New Roman" w:hAnsi="Palatino Linotype" w:cs="Lucida Sans Unicode"/>
          <w:b/>
          <w:bCs/>
          <w:color w:val="333333"/>
          <w:sz w:val="28"/>
          <w:szCs w:val="28"/>
        </w:rPr>
        <w:t xml:space="preserve"> the plane of polarization of the emitted light</w:t>
      </w:r>
      <w:r w:rsidR="005E1ED1" w:rsidRPr="008639AF">
        <w:rPr>
          <w:rFonts w:ascii="Palatino Linotype" w:eastAsia="Times New Roman" w:hAnsi="Palatino Linotype" w:cs="Lucida Sans Unicode"/>
          <w:b/>
          <w:bCs/>
          <w:color w:val="333333"/>
          <w:sz w:val="28"/>
          <w:szCs w:val="28"/>
        </w:rPr>
        <w:t xml:space="preserve"> </w:t>
      </w:r>
      <w:r w:rsidR="008639AF" w:rsidRPr="008639AF">
        <w:rPr>
          <w:rFonts w:ascii="Palatino Linotype" w:eastAsia="Times New Roman" w:hAnsi="Palatino Linotype" w:cs="Lucida Sans Unicode"/>
          <w:b/>
          <w:bCs/>
          <w:color w:val="333333"/>
          <w:sz w:val="28"/>
          <w:szCs w:val="28"/>
        </w:rPr>
        <w:t xml:space="preserve">rather than moving the polarizers. </w:t>
      </w:r>
    </w:p>
    <w:p w14:paraId="0B1146FB" w14:textId="2986D501" w:rsidR="005E1ED1" w:rsidRPr="00FB386F" w:rsidRDefault="008639AF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One of the beneficial 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>consequences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is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that n</w:t>
      </w:r>
      <w:r w:rsidR="005E1ED1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o G-factor correction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is needed to correct for the different intensity responses of the monochromators to the two states of polarization</w:t>
      </w:r>
      <w:r w:rsidR="005E1ED1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.</w:t>
      </w: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The OLIS method has fixed, stationary polarizers.</w:t>
      </w:r>
    </w:p>
    <w:p w14:paraId="15702785" w14:textId="687FF0D2" w:rsidR="005E1ED1" w:rsidRPr="00FB386F" w:rsidRDefault="0044603D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In the case of the LCVR and wave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>plate,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>s</w:t>
      </w:r>
      <w:r w:rsidR="005E1ED1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witching between L and R (or parallel and perpendicular)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can be </w:t>
      </w:r>
      <w:r w:rsidR="005E1ED1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made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at an arbitrary </w:t>
      </w:r>
      <w:r w:rsidR="005E1ED1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speed, 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>liberating d</w:t>
      </w:r>
      <w:r w:rsidR="005E1ED1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ata collection from the 50 kHz rate of the PEM.</w:t>
      </w:r>
    </w:p>
    <w:p w14:paraId="2CDA215E" w14:textId="314FAEAC" w:rsidR="0044603D" w:rsidRPr="00FB386F" w:rsidRDefault="0044603D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So, if the emission polarizer is fixed in the horizontal position, when the modulator is off, no rotation occurs and </w:t>
      </w:r>
      <w:proofErr w:type="gramStart"/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I</w:t>
      </w:r>
      <w:r w:rsidRPr="000A7512">
        <w:rPr>
          <w:rFonts w:ascii="Palatino Linotype" w:eastAsia="Times New Roman" w:hAnsi="Palatino Linotype" w:cs="Lucida Sans Unicode"/>
          <w:color w:val="333333"/>
          <w:sz w:val="32"/>
          <w:szCs w:val="32"/>
          <w:vertAlign w:val="subscript"/>
        </w:rPr>
        <w:t>v</w:t>
      </w:r>
      <w:proofErr w:type="gramEnd"/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can be measured. When the modulator is on, the plane of polarization is rotated 90 degrees and what was </w:t>
      </w:r>
      <w:r w:rsidR="000A7512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horizontal is now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vertical. This passes through the horizontally oriented polarizer. </w:t>
      </w:r>
    </w:p>
    <w:p w14:paraId="7222CCC8" w14:textId="77777777" w:rsidR="0044603D" w:rsidRPr="00FB386F" w:rsidRDefault="0044603D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Detection is handled by the exquisitely sensitive gated photon counting PMT for maximum sensitivity. </w:t>
      </w:r>
    </w:p>
    <w:p w14:paraId="592A8AEB" w14:textId="77777777" w:rsidR="0044603D" w:rsidRPr="00FB386F" w:rsidRDefault="0044603D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By synchronizing the detection with the modulator, the appropriate </w:t>
      </w:r>
      <w:proofErr w:type="spellStart"/>
      <w:r w:rsidRPr="00416B37">
        <w:rPr>
          <w:rFonts w:ascii="Palatino Linotype" w:eastAsia="Times New Roman" w:hAnsi="Palatino Linotype" w:cs="Lucida Sans Unicode"/>
          <w:color w:val="FF0000"/>
          <w:sz w:val="28"/>
          <w:szCs w:val="28"/>
        </w:rPr>
        <w:t>Ivv</w:t>
      </w:r>
      <w:proofErr w:type="spellEnd"/>
      <w:r w:rsidRPr="00416B37">
        <w:rPr>
          <w:rFonts w:ascii="Palatino Linotype" w:eastAsia="Times New Roman" w:hAnsi="Palatino Linotype" w:cs="Lucida Sans Unicode"/>
          <w:color w:val="FF0000"/>
          <w:sz w:val="28"/>
          <w:szCs w:val="28"/>
        </w:rPr>
        <w:t xml:space="preserve">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and </w:t>
      </w:r>
      <w:proofErr w:type="spellStart"/>
      <w:r w:rsidRPr="00416B37">
        <w:rPr>
          <w:rFonts w:ascii="Palatino Linotype" w:eastAsia="Times New Roman" w:hAnsi="Palatino Linotype" w:cs="Lucida Sans Unicode"/>
          <w:color w:val="FF0000"/>
          <w:sz w:val="28"/>
          <w:szCs w:val="28"/>
        </w:rPr>
        <w:t>Ivh</w:t>
      </w:r>
      <w:proofErr w:type="spellEnd"/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values can be obtained and used to calculate anisotropy or CPL. </w:t>
      </w:r>
    </w:p>
    <w:p w14:paraId="1CCFCAF8" w14:textId="52A44A41" w:rsidR="0044603D" w:rsidRPr="00FB386F" w:rsidRDefault="0044603D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b/>
          <w:bCs/>
          <w:color w:val="333333"/>
          <w:sz w:val="28"/>
          <w:szCs w:val="28"/>
        </w:rPr>
        <w:t>Because the polarization state of detected light is always horizontal, there is no effect of polarization (including Wood’s anomalies in the monochromator) on the intensity.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 </w:t>
      </w:r>
      <w:r w:rsidR="005E1ED1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N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o G-factor correction is required. There are no moving parts</w:t>
      </w:r>
      <w:r w:rsidR="005E1ED1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 xml:space="preserve">; 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neither polarizer is rotated.</w:t>
      </w:r>
    </w:p>
    <w:p w14:paraId="6AAA4FAD" w14:textId="5095BACE" w:rsidR="0044603D" w:rsidRPr="00FB386F" w:rsidRDefault="008639AF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>
        <w:rPr>
          <w:rFonts w:ascii="Palatino Linotype" w:eastAsia="Times New Roman" w:hAnsi="Palatino Linotype" w:cs="Lucida Sans Unicode"/>
          <w:color w:val="333333"/>
          <w:sz w:val="28"/>
          <w:szCs w:val="28"/>
        </w:rPr>
        <w:t>The following f</w:t>
      </w:r>
      <w:r w:rsidR="0044603D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igure shows an example of a dilute fluorescein solution in glycerol. The temperature was increased from 20°C to 80ºC as measured in a Peltier temperature-controlled cell. The recorded polarization decreases as a function of temperature, reflecting the increased motion of the fluorescein molecule.</w:t>
      </w:r>
    </w:p>
    <w:p w14:paraId="41F552DF" w14:textId="7B791691" w:rsidR="005E1ED1" w:rsidRPr="00FB386F" w:rsidRDefault="005E1ED1" w:rsidP="0044603D">
      <w:pPr>
        <w:spacing w:before="100" w:beforeAutospacing="1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noProof/>
          <w:color w:val="333333"/>
          <w:sz w:val="28"/>
          <w:szCs w:val="28"/>
        </w:rPr>
        <w:lastRenderedPageBreak/>
        <w:drawing>
          <wp:inline distT="0" distB="0" distL="0" distR="0" wp14:anchorId="6F63A58B" wp14:editId="766B1B48">
            <wp:extent cx="5853967" cy="3114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43" cy="311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D09B2" w14:textId="56F28734" w:rsidR="005E1ED1" w:rsidRPr="00FB386F" w:rsidRDefault="0044603D" w:rsidP="0044603D">
      <w:pPr>
        <w:rPr>
          <w:rFonts w:ascii="Palatino Linotype" w:hAnsi="Palatino Linotype"/>
          <w:sz w:val="28"/>
          <w:szCs w:val="28"/>
        </w:rPr>
      </w:pPr>
      <w:r w:rsidRPr="00FB386F">
        <w:rPr>
          <w:rFonts w:ascii="Palatino Linotype" w:hAnsi="Palatino Linotype"/>
          <w:sz w:val="28"/>
          <w:szCs w:val="28"/>
        </w:rPr>
        <w:t xml:space="preserve">The choice of the modulator </w:t>
      </w:r>
      <w:r w:rsidR="008639AF">
        <w:rPr>
          <w:rFonts w:ascii="Palatino Linotype" w:hAnsi="Palatino Linotype"/>
          <w:sz w:val="28"/>
          <w:szCs w:val="28"/>
        </w:rPr>
        <w:t xml:space="preserve">-- </w:t>
      </w:r>
      <w:r w:rsidR="008639AF" w:rsidRPr="00FB386F">
        <w:rPr>
          <w:rFonts w:ascii="Palatino Linotype" w:hAnsi="Palatino Linotype"/>
          <w:sz w:val="28"/>
          <w:szCs w:val="28"/>
        </w:rPr>
        <w:t>PEM, LCVR, or waveplate</w:t>
      </w:r>
      <w:r w:rsidR="008639AF">
        <w:rPr>
          <w:rFonts w:ascii="Palatino Linotype" w:hAnsi="Palatino Linotype"/>
          <w:sz w:val="28"/>
          <w:szCs w:val="28"/>
        </w:rPr>
        <w:t xml:space="preserve"> -- </w:t>
      </w:r>
      <w:r w:rsidRPr="00FB386F">
        <w:rPr>
          <w:rFonts w:ascii="Palatino Linotype" w:hAnsi="Palatino Linotype"/>
          <w:sz w:val="28"/>
          <w:szCs w:val="28"/>
        </w:rPr>
        <w:t>should be based on two aspects of the measurement. The first is the switching rate required. Applications such as stopped flow</w:t>
      </w:r>
      <w:r w:rsidR="008639AF">
        <w:rPr>
          <w:rFonts w:ascii="Palatino Linotype" w:hAnsi="Palatino Linotype"/>
          <w:sz w:val="28"/>
          <w:szCs w:val="28"/>
        </w:rPr>
        <w:t xml:space="preserve"> and CD</w:t>
      </w:r>
      <w:r w:rsidRPr="00FB386F">
        <w:rPr>
          <w:rFonts w:ascii="Palatino Linotype" w:hAnsi="Palatino Linotype"/>
          <w:sz w:val="28"/>
          <w:szCs w:val="28"/>
        </w:rPr>
        <w:t xml:space="preserve">, which require rapid switching, require the PEM. </w:t>
      </w:r>
      <w:r w:rsidR="005E1ED1" w:rsidRPr="00FB386F">
        <w:rPr>
          <w:rFonts w:ascii="Palatino Linotype" w:hAnsi="Palatino Linotype"/>
          <w:sz w:val="28"/>
          <w:szCs w:val="28"/>
        </w:rPr>
        <w:t xml:space="preserve"> S</w:t>
      </w:r>
      <w:r w:rsidRPr="00FB386F">
        <w:rPr>
          <w:rFonts w:ascii="Palatino Linotype" w:hAnsi="Palatino Linotype"/>
          <w:sz w:val="28"/>
          <w:szCs w:val="28"/>
        </w:rPr>
        <w:t xml:space="preserve">lower anisotropy </w:t>
      </w:r>
      <w:r w:rsidR="005E1ED1" w:rsidRPr="00FB386F">
        <w:rPr>
          <w:rFonts w:ascii="Palatino Linotype" w:hAnsi="Palatino Linotype"/>
          <w:sz w:val="28"/>
          <w:szCs w:val="28"/>
        </w:rPr>
        <w:t xml:space="preserve">and all CPL </w:t>
      </w:r>
      <w:r w:rsidRPr="00FB386F">
        <w:rPr>
          <w:rFonts w:ascii="Palatino Linotype" w:hAnsi="Palatino Linotype"/>
          <w:sz w:val="28"/>
          <w:szCs w:val="28"/>
        </w:rPr>
        <w:t xml:space="preserve">measurements can be </w:t>
      </w:r>
      <w:r w:rsidR="005E1ED1" w:rsidRPr="00FB386F">
        <w:rPr>
          <w:rFonts w:ascii="Palatino Linotype" w:hAnsi="Palatino Linotype"/>
          <w:sz w:val="28"/>
          <w:szCs w:val="28"/>
        </w:rPr>
        <w:t xml:space="preserve">done with the </w:t>
      </w:r>
      <w:r w:rsidRPr="00FB386F">
        <w:rPr>
          <w:rFonts w:ascii="Palatino Linotype" w:hAnsi="Palatino Linotype"/>
          <w:sz w:val="28"/>
          <w:szCs w:val="28"/>
        </w:rPr>
        <w:t>PEM</w:t>
      </w:r>
      <w:r w:rsidR="005E1ED1" w:rsidRPr="00FB386F">
        <w:rPr>
          <w:rFonts w:ascii="Palatino Linotype" w:hAnsi="Palatino Linotype"/>
          <w:sz w:val="28"/>
          <w:szCs w:val="28"/>
        </w:rPr>
        <w:t xml:space="preserve">, </w:t>
      </w:r>
      <w:r w:rsidRPr="00FB386F">
        <w:rPr>
          <w:rFonts w:ascii="Palatino Linotype" w:hAnsi="Palatino Linotype"/>
          <w:sz w:val="28"/>
          <w:szCs w:val="28"/>
        </w:rPr>
        <w:t>LCVR</w:t>
      </w:r>
      <w:r w:rsidR="005E1ED1" w:rsidRPr="00FB386F">
        <w:rPr>
          <w:rFonts w:ascii="Palatino Linotype" w:hAnsi="Palatino Linotype"/>
          <w:sz w:val="28"/>
          <w:szCs w:val="28"/>
        </w:rPr>
        <w:t>, or waveplate.</w:t>
      </w:r>
    </w:p>
    <w:p w14:paraId="09D9C80A" w14:textId="7BF2288F" w:rsidR="005E1ED1" w:rsidRPr="00FB386F" w:rsidRDefault="005E1ED1" w:rsidP="0044603D">
      <w:pPr>
        <w:rPr>
          <w:rFonts w:ascii="Palatino Linotype" w:hAnsi="Palatino Linotype"/>
          <w:sz w:val="28"/>
          <w:szCs w:val="28"/>
        </w:rPr>
      </w:pPr>
      <w:r w:rsidRPr="00FB386F">
        <w:rPr>
          <w:rFonts w:ascii="Palatino Linotype" w:hAnsi="Palatino Linotype"/>
          <w:sz w:val="28"/>
          <w:szCs w:val="28"/>
        </w:rPr>
        <w:t xml:space="preserve">In addition to speed of modulation, one must also consider the </w:t>
      </w:r>
      <w:r w:rsidR="0044603D" w:rsidRPr="00FB386F">
        <w:rPr>
          <w:rFonts w:ascii="Palatino Linotype" w:hAnsi="Palatino Linotype"/>
          <w:sz w:val="28"/>
          <w:szCs w:val="28"/>
        </w:rPr>
        <w:t>wavelength range required. The respective spectral ranges are 170 nm – 1400 nm for the PEM</w:t>
      </w:r>
      <w:r w:rsidRPr="00FB386F">
        <w:rPr>
          <w:rFonts w:ascii="Palatino Linotype" w:hAnsi="Palatino Linotype"/>
          <w:sz w:val="28"/>
          <w:szCs w:val="28"/>
        </w:rPr>
        <w:t xml:space="preserve">, </w:t>
      </w:r>
      <w:r w:rsidR="0044603D" w:rsidRPr="00FB386F">
        <w:rPr>
          <w:rFonts w:ascii="Palatino Linotype" w:hAnsi="Palatino Linotype"/>
          <w:sz w:val="28"/>
          <w:szCs w:val="28"/>
        </w:rPr>
        <w:t>340 nm -2000 nm for the LCVR</w:t>
      </w:r>
      <w:r w:rsidRPr="00FB386F">
        <w:rPr>
          <w:rFonts w:ascii="Palatino Linotype" w:hAnsi="Palatino Linotype"/>
          <w:sz w:val="28"/>
          <w:szCs w:val="28"/>
        </w:rPr>
        <w:t xml:space="preserve">, and </w:t>
      </w:r>
      <w:r w:rsidR="00D24956">
        <w:rPr>
          <w:rFonts w:ascii="Palatino Linotype" w:hAnsi="Palatino Linotype"/>
          <w:sz w:val="28"/>
          <w:szCs w:val="28"/>
        </w:rPr>
        <w:t xml:space="preserve">270-2000 nm </w:t>
      </w:r>
      <w:r w:rsidRPr="00FB386F">
        <w:rPr>
          <w:rFonts w:ascii="Palatino Linotype" w:hAnsi="Palatino Linotype"/>
          <w:sz w:val="28"/>
          <w:szCs w:val="28"/>
        </w:rPr>
        <w:t>for the waveplate.</w:t>
      </w:r>
    </w:p>
    <w:p w14:paraId="6B6C08EB" w14:textId="7F3DED0B" w:rsidR="005E1ED1" w:rsidRPr="00FB386F" w:rsidRDefault="000A7512" w:rsidP="0044603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One moves be</w:t>
      </w:r>
      <w:r w:rsidR="005E1ED1" w:rsidRPr="00FB386F">
        <w:rPr>
          <w:rFonts w:ascii="Palatino Linotype" w:hAnsi="Palatino Linotype"/>
          <w:sz w:val="28"/>
          <w:szCs w:val="28"/>
        </w:rPr>
        <w:t xml:space="preserve">tween anisotropy </w:t>
      </w:r>
      <w:r>
        <w:rPr>
          <w:rFonts w:ascii="Palatino Linotype" w:hAnsi="Palatino Linotype"/>
          <w:sz w:val="28"/>
          <w:szCs w:val="28"/>
        </w:rPr>
        <w:t xml:space="preserve">and by </w:t>
      </w:r>
      <w:r w:rsidR="0044603D" w:rsidRPr="00FB386F">
        <w:rPr>
          <w:rFonts w:ascii="Palatino Linotype" w:hAnsi="Palatino Linotype"/>
          <w:sz w:val="28"/>
          <w:szCs w:val="28"/>
        </w:rPr>
        <w:t>switching the modulat</w:t>
      </w:r>
      <w:r>
        <w:rPr>
          <w:rFonts w:ascii="Palatino Linotype" w:hAnsi="Palatino Linotype"/>
          <w:sz w:val="28"/>
          <w:szCs w:val="28"/>
        </w:rPr>
        <w:t xml:space="preserve">ion rate in the software; </w:t>
      </w:r>
      <w:r w:rsidR="005E1ED1" w:rsidRPr="00FB386F">
        <w:rPr>
          <w:rFonts w:ascii="Palatino Linotype" w:hAnsi="Palatino Linotype"/>
          <w:sz w:val="28"/>
          <w:szCs w:val="28"/>
        </w:rPr>
        <w:t>hardware remains unchanged</w:t>
      </w:r>
    </w:p>
    <w:p w14:paraId="33D35003" w14:textId="77777777" w:rsidR="005E1ED1" w:rsidRPr="00FB386F" w:rsidRDefault="005E1ED1" w:rsidP="0044603D">
      <w:pPr>
        <w:rPr>
          <w:rFonts w:ascii="Palatino Linotype" w:hAnsi="Palatino Linotype"/>
          <w:sz w:val="28"/>
          <w:szCs w:val="28"/>
        </w:rPr>
      </w:pPr>
    </w:p>
    <w:p w14:paraId="5F7B994C" w14:textId="111F3F58" w:rsidR="005E1ED1" w:rsidRDefault="005E1ED1" w:rsidP="0044603D">
      <w:pPr>
        <w:rPr>
          <w:rFonts w:ascii="Palatino Linotype" w:hAnsi="Palatino Linotype"/>
          <w:sz w:val="28"/>
          <w:szCs w:val="28"/>
        </w:rPr>
      </w:pPr>
      <w:r w:rsidRPr="00D24956">
        <w:rPr>
          <w:rFonts w:ascii="Palatino Linotype" w:hAnsi="Palatino Linotype"/>
          <w:b/>
          <w:bCs/>
          <w:sz w:val="28"/>
          <w:szCs w:val="28"/>
        </w:rPr>
        <w:t>Circularly polari</w:t>
      </w:r>
      <w:r w:rsidR="0044603D" w:rsidRPr="00D24956">
        <w:rPr>
          <w:rFonts w:ascii="Palatino Linotype" w:hAnsi="Palatino Linotype"/>
          <w:b/>
          <w:bCs/>
          <w:sz w:val="28"/>
          <w:szCs w:val="28"/>
        </w:rPr>
        <w:t>zed luminescence (CPL)</w:t>
      </w:r>
      <w:r w:rsidRPr="00FB386F">
        <w:rPr>
          <w:rFonts w:ascii="Palatino Linotype" w:hAnsi="Palatino Linotype"/>
          <w:sz w:val="28"/>
          <w:szCs w:val="28"/>
        </w:rPr>
        <w:t xml:space="preserve"> </w:t>
      </w:r>
      <w:r w:rsidR="0044603D" w:rsidRPr="00FB386F">
        <w:rPr>
          <w:rFonts w:ascii="Palatino Linotype" w:hAnsi="Palatino Linotype"/>
          <w:sz w:val="28"/>
          <w:szCs w:val="28"/>
        </w:rPr>
        <w:t>is the differential emission of left and right circularly polarized light from a chiral fluorophore</w:t>
      </w:r>
      <w:r w:rsidRPr="00FB386F">
        <w:rPr>
          <w:rFonts w:ascii="Palatino Linotype" w:hAnsi="Palatino Linotype"/>
          <w:sz w:val="28"/>
          <w:szCs w:val="28"/>
        </w:rPr>
        <w:t>. CPL is extremely s</w:t>
      </w:r>
      <w:r w:rsidR="0044603D" w:rsidRPr="00FB386F">
        <w:rPr>
          <w:rFonts w:ascii="Palatino Linotype" w:hAnsi="Palatino Linotype"/>
          <w:sz w:val="28"/>
          <w:szCs w:val="28"/>
        </w:rPr>
        <w:t xml:space="preserve">ensitive to the environment of the excited state. </w:t>
      </w:r>
      <w:r w:rsidRPr="00FB386F">
        <w:rPr>
          <w:rFonts w:ascii="Palatino Linotype" w:hAnsi="Palatino Linotype"/>
          <w:sz w:val="28"/>
          <w:szCs w:val="28"/>
        </w:rPr>
        <w:t xml:space="preserve">CPL </w:t>
      </w:r>
      <w:r w:rsidR="0044603D" w:rsidRPr="00FB386F">
        <w:rPr>
          <w:rFonts w:ascii="Palatino Linotype" w:hAnsi="Palatino Linotype"/>
          <w:sz w:val="28"/>
          <w:szCs w:val="28"/>
        </w:rPr>
        <w:t xml:space="preserve">has been used to characterize transition metal ligand complexes (a signal is seen only when coordinated to a chiral ligand), trivalent lanthanide complexes, and </w:t>
      </w:r>
      <w:r w:rsidR="005563F4" w:rsidRPr="00FB386F">
        <w:rPr>
          <w:rFonts w:ascii="Palatino Linotype" w:hAnsi="Palatino Linotype"/>
          <w:sz w:val="28"/>
          <w:szCs w:val="28"/>
        </w:rPr>
        <w:t>chiral</w:t>
      </w:r>
      <w:r w:rsidR="0044603D" w:rsidRPr="00FB386F">
        <w:rPr>
          <w:rFonts w:ascii="Palatino Linotype" w:hAnsi="Palatino Linotype"/>
          <w:sz w:val="28"/>
          <w:szCs w:val="28"/>
        </w:rPr>
        <w:t xml:space="preserve"> lactones. In addition, bio macromolecular molecules have been </w:t>
      </w:r>
      <w:r w:rsidR="0044603D" w:rsidRPr="00FB386F">
        <w:rPr>
          <w:rFonts w:ascii="Palatino Linotype" w:hAnsi="Palatino Linotype"/>
          <w:sz w:val="28"/>
          <w:szCs w:val="28"/>
        </w:rPr>
        <w:lastRenderedPageBreak/>
        <w:t xml:space="preserve">probed by using Tb3+[ref], </w:t>
      </w:r>
      <w:proofErr w:type="spellStart"/>
      <w:r w:rsidR="0044603D" w:rsidRPr="00FB386F">
        <w:rPr>
          <w:rFonts w:ascii="Palatino Linotype" w:hAnsi="Palatino Linotype"/>
          <w:sz w:val="28"/>
          <w:szCs w:val="28"/>
        </w:rPr>
        <w:t>dansyl</w:t>
      </w:r>
      <w:proofErr w:type="spellEnd"/>
      <w:r w:rsidR="0044603D" w:rsidRPr="00FB386F">
        <w:rPr>
          <w:rFonts w:ascii="Palatino Linotype" w:hAnsi="Palatino Linotype"/>
          <w:sz w:val="28"/>
          <w:szCs w:val="28"/>
        </w:rPr>
        <w:t xml:space="preserve">, acridine, and intrinsic tryptophan. These probes, particularly tryptophan, are sensitive to tertiary structure. </w:t>
      </w:r>
    </w:p>
    <w:p w14:paraId="4F5BEE88" w14:textId="218555E0" w:rsidR="005563F4" w:rsidRDefault="005563F4" w:rsidP="0044603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units for CPL are G</w:t>
      </w:r>
      <w:r w:rsidRPr="005563F4">
        <w:rPr>
          <w:rFonts w:ascii="Palatino Linotype" w:hAnsi="Palatino Linotype"/>
          <w:sz w:val="28"/>
          <w:szCs w:val="28"/>
          <w:vertAlign w:val="subscript"/>
        </w:rPr>
        <w:t>(LUM</w:t>
      </w:r>
      <w:r>
        <w:rPr>
          <w:rStyle w:val="FootnoteReference"/>
          <w:rFonts w:ascii="Palatino Linotype" w:hAnsi="Palatino Linotype"/>
          <w:sz w:val="28"/>
          <w:szCs w:val="28"/>
        </w:rPr>
        <w:footnoteReference w:id="2"/>
      </w:r>
      <w:r w:rsidRPr="005563F4">
        <w:rPr>
          <w:rFonts w:ascii="Palatino Linotype" w:hAnsi="Palatino Linotype"/>
          <w:sz w:val="28"/>
          <w:szCs w:val="28"/>
          <w:vertAlign w:val="subscript"/>
        </w:rPr>
        <w:t>)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gramStart"/>
      <w:r>
        <w:rPr>
          <w:rFonts w:ascii="Palatino Linotype" w:hAnsi="Palatino Linotype"/>
          <w:sz w:val="28"/>
          <w:szCs w:val="28"/>
        </w:rPr>
        <w:t>where</w:t>
      </w:r>
      <w:proofErr w:type="gramEnd"/>
      <w:r>
        <w:rPr>
          <w:rFonts w:ascii="Palatino Linotype" w:hAnsi="Palatino Linotype"/>
          <w:sz w:val="28"/>
          <w:szCs w:val="28"/>
        </w:rPr>
        <w:t xml:space="preserve"> </w:t>
      </w:r>
    </w:p>
    <w:p w14:paraId="03803D61" w14:textId="0B9AB078" w:rsidR="005563F4" w:rsidRDefault="005563F4" w:rsidP="005563F4">
      <w:pPr>
        <w:jc w:val="center"/>
        <w:rPr>
          <w:rFonts w:ascii="Palatino Linotype" w:hAnsi="Palatino Linotype"/>
          <w:sz w:val="32"/>
          <w:szCs w:val="32"/>
        </w:rPr>
      </w:pPr>
      <w:r w:rsidRPr="005563F4">
        <w:rPr>
          <w:rFonts w:ascii="Palatino Linotype" w:hAnsi="Palatino Linotype"/>
          <w:sz w:val="32"/>
          <w:szCs w:val="32"/>
        </w:rPr>
        <w:t>G</w:t>
      </w:r>
      <w:r w:rsidRPr="005563F4">
        <w:rPr>
          <w:rFonts w:ascii="Palatino Linotype" w:hAnsi="Palatino Linotype"/>
          <w:sz w:val="32"/>
          <w:szCs w:val="32"/>
          <w:vertAlign w:val="subscript"/>
        </w:rPr>
        <w:t>(LUM)</w:t>
      </w:r>
      <w:r w:rsidRPr="005563F4">
        <w:rPr>
          <w:rFonts w:ascii="Palatino Linotype" w:hAnsi="Palatino Linotype"/>
          <w:sz w:val="32"/>
          <w:szCs w:val="32"/>
        </w:rPr>
        <w:t xml:space="preserve"> = 2 [(I</w:t>
      </w:r>
      <w:r w:rsidRPr="005563F4">
        <w:rPr>
          <w:rFonts w:ascii="Palatino Linotype" w:hAnsi="Palatino Linotype"/>
          <w:sz w:val="32"/>
          <w:szCs w:val="32"/>
          <w:vertAlign w:val="subscript"/>
        </w:rPr>
        <w:t>L</w:t>
      </w:r>
      <w:r w:rsidRPr="005563F4">
        <w:rPr>
          <w:rFonts w:ascii="Palatino Linotype" w:hAnsi="Palatino Linotype"/>
          <w:sz w:val="32"/>
          <w:szCs w:val="32"/>
        </w:rPr>
        <w:t>-I</w:t>
      </w:r>
      <w:r w:rsidRPr="005563F4">
        <w:rPr>
          <w:rFonts w:ascii="Palatino Linotype" w:hAnsi="Palatino Linotype"/>
          <w:sz w:val="32"/>
          <w:szCs w:val="32"/>
          <w:vertAlign w:val="subscript"/>
        </w:rPr>
        <w:t>R</w:t>
      </w:r>
      <w:r w:rsidRPr="005563F4">
        <w:rPr>
          <w:rFonts w:ascii="Palatino Linotype" w:hAnsi="Palatino Linotype"/>
          <w:sz w:val="32"/>
          <w:szCs w:val="32"/>
        </w:rPr>
        <w:t>)/I</w:t>
      </w:r>
      <w:r w:rsidRPr="005563F4">
        <w:rPr>
          <w:rFonts w:ascii="Palatino Linotype" w:hAnsi="Palatino Linotype"/>
          <w:sz w:val="32"/>
          <w:szCs w:val="32"/>
          <w:vertAlign w:val="subscript"/>
        </w:rPr>
        <w:t>L</w:t>
      </w:r>
      <w:r w:rsidRPr="005563F4">
        <w:rPr>
          <w:rFonts w:ascii="Palatino Linotype" w:hAnsi="Palatino Linotype"/>
          <w:sz w:val="32"/>
          <w:szCs w:val="32"/>
        </w:rPr>
        <w:t>+I</w:t>
      </w:r>
      <w:r w:rsidRPr="005563F4">
        <w:rPr>
          <w:rFonts w:ascii="Palatino Linotype" w:hAnsi="Palatino Linotype"/>
          <w:sz w:val="32"/>
          <w:szCs w:val="32"/>
          <w:vertAlign w:val="subscript"/>
        </w:rPr>
        <w:t>R</w:t>
      </w:r>
      <w:r w:rsidRPr="005563F4">
        <w:rPr>
          <w:rFonts w:ascii="Palatino Linotype" w:hAnsi="Palatino Linotype"/>
          <w:sz w:val="32"/>
          <w:szCs w:val="32"/>
        </w:rPr>
        <w:t>)]</w:t>
      </w:r>
    </w:p>
    <w:p w14:paraId="4870915C" w14:textId="77777777" w:rsidR="005563F4" w:rsidRPr="005563F4" w:rsidRDefault="005563F4" w:rsidP="005563F4">
      <w:pPr>
        <w:jc w:val="center"/>
        <w:rPr>
          <w:rFonts w:ascii="Palatino Linotype" w:hAnsi="Palatino Linotype"/>
          <w:sz w:val="32"/>
          <w:szCs w:val="32"/>
        </w:rPr>
      </w:pPr>
    </w:p>
    <w:p w14:paraId="5DDBE112" w14:textId="0286E20D" w:rsidR="0044603D" w:rsidRPr="00D24956" w:rsidRDefault="005563F4" w:rsidP="0044603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Interesting fact: </w:t>
      </w:r>
      <w:r w:rsidR="0044603D" w:rsidRPr="00D24956">
        <w:rPr>
          <w:rFonts w:ascii="Palatino Linotype" w:hAnsi="Palatino Linotype"/>
          <w:b/>
          <w:bCs/>
          <w:sz w:val="28"/>
          <w:szCs w:val="28"/>
        </w:rPr>
        <w:t>Unfolded proteins, exhibit zero CPL signal.</w:t>
      </w:r>
    </w:p>
    <w:p w14:paraId="04837D0E" w14:textId="77777777" w:rsidR="00D24956" w:rsidRDefault="00D24956" w:rsidP="0044603D">
      <w:pPr>
        <w:rPr>
          <w:rFonts w:ascii="Palatino Linotype" w:hAnsi="Palatino Linotype"/>
          <w:sz w:val="28"/>
          <w:szCs w:val="28"/>
        </w:rPr>
      </w:pPr>
    </w:p>
    <w:p w14:paraId="6D69CA97" w14:textId="097B8E5A" w:rsidR="00734BAE" w:rsidRPr="00FB386F" w:rsidRDefault="00D24956" w:rsidP="0044603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</w:t>
      </w:r>
      <w:r w:rsidR="0044603D" w:rsidRPr="00FB386F">
        <w:rPr>
          <w:rFonts w:ascii="Palatino Linotype" w:hAnsi="Palatino Linotype"/>
          <w:sz w:val="28"/>
          <w:szCs w:val="28"/>
        </w:rPr>
        <w:t xml:space="preserve"> CPL spectrum of </w:t>
      </w:r>
      <w:proofErr w:type="gramStart"/>
      <w:r w:rsidR="0044603D" w:rsidRPr="00FB386F">
        <w:rPr>
          <w:rFonts w:ascii="Palatino Linotype" w:hAnsi="Palatino Linotype"/>
          <w:sz w:val="28"/>
          <w:szCs w:val="28"/>
        </w:rPr>
        <w:t>Europium(</w:t>
      </w:r>
      <w:proofErr w:type="gramEnd"/>
      <w:r w:rsidR="0044603D" w:rsidRPr="00FB386F">
        <w:rPr>
          <w:rFonts w:ascii="Palatino Linotype" w:hAnsi="Palatino Linotype"/>
          <w:sz w:val="28"/>
          <w:szCs w:val="28"/>
        </w:rPr>
        <w:t>III) tris[3-(</w:t>
      </w:r>
      <w:proofErr w:type="spellStart"/>
      <w:r w:rsidR="0044603D" w:rsidRPr="00FB386F">
        <w:rPr>
          <w:rFonts w:ascii="Palatino Linotype" w:hAnsi="Palatino Linotype"/>
          <w:sz w:val="28"/>
          <w:szCs w:val="28"/>
        </w:rPr>
        <w:t>trifluoromethylhydroxymethylene</w:t>
      </w:r>
      <w:proofErr w:type="spellEnd"/>
      <w:r w:rsidR="0044603D" w:rsidRPr="00FB386F">
        <w:rPr>
          <w:rFonts w:ascii="Palatino Linotype" w:hAnsi="Palatino Linotype"/>
          <w:sz w:val="28"/>
          <w:szCs w:val="28"/>
        </w:rPr>
        <w:t xml:space="preserve">)-d-camphorate in DMSO. </w: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3015F882" w14:textId="228C2CF4" w:rsidR="005E1ED1" w:rsidRPr="00FB386F" w:rsidRDefault="005E1ED1" w:rsidP="0044603D">
      <w:pPr>
        <w:rPr>
          <w:rFonts w:ascii="Palatino Linotype" w:hAnsi="Palatino Linotype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noProof/>
          <w:color w:val="333333"/>
          <w:sz w:val="28"/>
          <w:szCs w:val="28"/>
        </w:rPr>
        <w:drawing>
          <wp:inline distT="0" distB="0" distL="0" distR="0" wp14:anchorId="42F2204A" wp14:editId="19CD5593">
            <wp:extent cx="5943600" cy="3566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6666D" w14:textId="376B8685" w:rsidR="005E1ED1" w:rsidRPr="00FB386F" w:rsidRDefault="005E1ED1" w:rsidP="005E1ED1">
      <w:pPr>
        <w:spacing w:before="100" w:beforeAutospacing="1" w:after="100" w:afterAutospacing="1" w:line="240" w:lineRule="auto"/>
        <w:rPr>
          <w:rFonts w:ascii="Palatino Linotype" w:eastAsia="Times New Roman" w:hAnsi="Palatino Linotype" w:cs="Calibri"/>
          <w:color w:val="333333"/>
          <w:sz w:val="28"/>
          <w:szCs w:val="28"/>
        </w:rPr>
      </w:pPr>
      <w:r w:rsidRPr="00D24956">
        <w:rPr>
          <w:rFonts w:ascii="Palatino Linotype" w:eastAsia="Times New Roman" w:hAnsi="Palatino Linotype" w:cs="Calibri"/>
          <w:b/>
          <w:bCs/>
          <w:color w:val="333333"/>
          <w:sz w:val="28"/>
          <w:szCs w:val="28"/>
        </w:rPr>
        <w:t>The Polarization Toolbox</w:t>
      </w:r>
      <w:r w:rsidRPr="00FB386F">
        <w:rPr>
          <w:rFonts w:ascii="Palatino Linotype" w:eastAsia="Times New Roman" w:hAnsi="Palatino Linotype" w:cs="Calibri"/>
          <w:color w:val="333333"/>
          <w:sz w:val="28"/>
          <w:szCs w:val="28"/>
        </w:rPr>
        <w:t xml:space="preserve"> is a self-contained sample compartment which we offer on </w:t>
      </w:r>
      <w:r w:rsidR="00416B37">
        <w:rPr>
          <w:rFonts w:ascii="Palatino Linotype" w:eastAsia="Times New Roman" w:hAnsi="Palatino Linotype" w:cs="Calibri"/>
          <w:color w:val="333333"/>
          <w:sz w:val="28"/>
          <w:szCs w:val="28"/>
        </w:rPr>
        <w:t xml:space="preserve">three </w:t>
      </w:r>
      <w:r w:rsidRPr="00FB386F">
        <w:rPr>
          <w:rFonts w:ascii="Palatino Linotype" w:eastAsia="Times New Roman" w:hAnsi="Palatino Linotype" w:cs="Calibri"/>
          <w:color w:val="333333"/>
          <w:sz w:val="28"/>
          <w:szCs w:val="28"/>
        </w:rPr>
        <w:t xml:space="preserve">OLIS </w:t>
      </w:r>
      <w:r w:rsidR="00416B37">
        <w:rPr>
          <w:rFonts w:ascii="Palatino Linotype" w:eastAsia="Times New Roman" w:hAnsi="Palatino Linotype" w:cs="Calibri"/>
          <w:color w:val="333333"/>
          <w:sz w:val="28"/>
          <w:szCs w:val="28"/>
        </w:rPr>
        <w:t>instruments:</w:t>
      </w:r>
    </w:p>
    <w:p w14:paraId="76A53F24" w14:textId="3584CF8B" w:rsidR="005E1ED1" w:rsidRPr="00416B37" w:rsidRDefault="00416B37" w:rsidP="00416B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Calibri"/>
          <w:color w:val="333333"/>
          <w:sz w:val="28"/>
          <w:szCs w:val="28"/>
        </w:rPr>
      </w:pPr>
      <w:r w:rsidRPr="00416B37">
        <w:rPr>
          <w:rFonts w:ascii="Palatino Linotype" w:eastAsia="Times New Roman" w:hAnsi="Palatino Linotype" w:cs="Calibri"/>
          <w:color w:val="333333"/>
          <w:sz w:val="28"/>
          <w:szCs w:val="28"/>
        </w:rPr>
        <w:lastRenderedPageBreak/>
        <w:t>The CPL Solo is the Polarization Toolbox, emission monochromator and emission detector, and one or more LEDs.</w:t>
      </w:r>
    </w:p>
    <w:p w14:paraId="62935F6C" w14:textId="4AC098D0" w:rsidR="00416B37" w:rsidRPr="00416B37" w:rsidRDefault="00416B37" w:rsidP="00416B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Calibri"/>
          <w:color w:val="333333"/>
          <w:sz w:val="28"/>
          <w:szCs w:val="28"/>
        </w:rPr>
      </w:pPr>
      <w:r w:rsidRPr="00416B37">
        <w:rPr>
          <w:rFonts w:ascii="Palatino Linotype" w:eastAsia="Times New Roman" w:hAnsi="Palatino Linotype" w:cs="Calibri"/>
          <w:color w:val="333333"/>
          <w:sz w:val="28"/>
          <w:szCs w:val="28"/>
        </w:rPr>
        <w:t>The OLIS DSM 172 is the Polarization Toolbox, double prism-grating monochromator, emission monochromator, 150-watt xenon arc lamp, and detectors for both CD (PMT) and CPL (photon counting PMT). This model has both UV/Vis and NIR: CD is 185-1700 nm and CPL is 230-850 nm.</w:t>
      </w:r>
    </w:p>
    <w:p w14:paraId="7969E4D0" w14:textId="70FEF35A" w:rsidR="00416B37" w:rsidRPr="00416B37" w:rsidRDefault="00416B37" w:rsidP="00416B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Calibri"/>
          <w:color w:val="333333"/>
          <w:sz w:val="28"/>
          <w:szCs w:val="28"/>
        </w:rPr>
      </w:pPr>
      <w:r w:rsidRPr="00416B37">
        <w:rPr>
          <w:rFonts w:ascii="Palatino Linotype" w:eastAsia="Times New Roman" w:hAnsi="Palatino Linotype" w:cs="Calibri"/>
          <w:color w:val="333333"/>
          <w:sz w:val="28"/>
          <w:szCs w:val="28"/>
        </w:rPr>
        <w:t xml:space="preserve">The OLIS DSM 245 is the Polarization Toolbox, double grating monochromator, emission monochromator, 150-watt xenon arc lamp, and detectors for both CD (PMT) and CPL (photon counting PMT). This model </w:t>
      </w:r>
      <w:r>
        <w:rPr>
          <w:rFonts w:ascii="Palatino Linotype" w:eastAsia="Times New Roman" w:hAnsi="Palatino Linotype" w:cs="Calibri"/>
          <w:color w:val="333333"/>
          <w:sz w:val="28"/>
          <w:szCs w:val="28"/>
        </w:rPr>
        <w:t xml:space="preserve">supports </w:t>
      </w:r>
      <w:r w:rsidRPr="00416B37">
        <w:rPr>
          <w:rFonts w:ascii="Palatino Linotype" w:eastAsia="Times New Roman" w:hAnsi="Palatino Linotype" w:cs="Calibri"/>
          <w:color w:val="333333"/>
          <w:sz w:val="28"/>
          <w:szCs w:val="28"/>
        </w:rPr>
        <w:t>170-700 nm for CD and 230-850 nm for CPL.</w:t>
      </w:r>
    </w:p>
    <w:p w14:paraId="6C1E446C" w14:textId="6E7C09E1" w:rsidR="00DB6FAE" w:rsidRPr="00FB386F" w:rsidRDefault="00DB6FAE" w:rsidP="00DB6FAE">
      <w:pPr>
        <w:spacing w:before="100" w:beforeAutospacing="1" w:after="100" w:afterAutospacing="1" w:line="240" w:lineRule="auto"/>
        <w:rPr>
          <w:rFonts w:ascii="Palatino Linotype" w:eastAsia="Times New Roman" w:hAnsi="Palatino Linotype" w:cs="Calibri"/>
          <w:color w:val="333333"/>
          <w:sz w:val="28"/>
          <w:szCs w:val="28"/>
        </w:rPr>
      </w:pPr>
    </w:p>
    <w:p w14:paraId="6EA785CD" w14:textId="77777777" w:rsidR="00DB6FAE" w:rsidRPr="00FB386F" w:rsidRDefault="00DB6FAE" w:rsidP="00DB6FAE">
      <w:pPr>
        <w:spacing w:after="0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References</w:t>
      </w:r>
    </w:p>
    <w:p w14:paraId="2BC50B53" w14:textId="77777777" w:rsidR="00DB6FAE" w:rsidRPr="00FB386F" w:rsidRDefault="005563F4" w:rsidP="00DB6FAE">
      <w:pPr>
        <w:spacing w:before="105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hyperlink r:id="rId13" w:history="1">
        <w:r w:rsidR="00DB6FAE" w:rsidRPr="00FB386F">
          <w:rPr>
            <w:rFonts w:ascii="Palatino Linotype" w:eastAsia="Times New Roman" w:hAnsi="Palatino Linotype" w:cs="Lucida Sans Unicode"/>
            <w:color w:val="CC9900"/>
            <w:sz w:val="28"/>
            <w:szCs w:val="28"/>
            <w:u w:val="single"/>
          </w:rPr>
          <w:t>Recording Polarization of Fluorescence Spectrometer -- A Unique Application of Piezoelectric Birefringence Modulation</w:t>
        </w:r>
      </w:hyperlink>
      <w:r w:rsidR="00DB6FAE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br/>
        <w:t>John E. Wampler and Richard J. DeSa, </w:t>
      </w:r>
      <w:r w:rsidR="00DB6FAE" w:rsidRPr="00FB386F">
        <w:rPr>
          <w:rFonts w:ascii="Palatino Linotype" w:eastAsia="Times New Roman" w:hAnsi="Palatino Linotype" w:cs="Lucida Sans Unicode"/>
          <w:i/>
          <w:iCs/>
          <w:color w:val="333333"/>
          <w:sz w:val="28"/>
          <w:szCs w:val="28"/>
        </w:rPr>
        <w:t>Analytical Chemistry</w:t>
      </w:r>
      <w:r w:rsidR="00DB6FAE"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, 46,563 (1974)</w:t>
      </w:r>
    </w:p>
    <w:p w14:paraId="415040C0" w14:textId="77777777" w:rsidR="00DB6FAE" w:rsidRPr="00FB386F" w:rsidRDefault="00DB6FAE" w:rsidP="00DB6FAE">
      <w:pPr>
        <w:spacing w:before="105" w:after="100" w:afterAutospacing="1" w:line="240" w:lineRule="auto"/>
        <w:rPr>
          <w:rFonts w:ascii="Palatino Linotype" w:eastAsia="Times New Roman" w:hAnsi="Palatino Linotype" w:cs="Lucida Sans Unicode"/>
          <w:color w:val="333333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  <w:u w:val="single"/>
        </w:rPr>
        <w:t>Modulator polarization technique: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br/>
        <w:t>Wampler, J. E. and DeSa, R. J. (1974) </w:t>
      </w:r>
      <w:r w:rsidRPr="00FB386F">
        <w:rPr>
          <w:rFonts w:ascii="Palatino Linotype" w:eastAsia="Times New Roman" w:hAnsi="Palatino Linotype" w:cs="Lucida Sans Unicode"/>
          <w:i/>
          <w:iCs/>
          <w:color w:val="333333"/>
          <w:sz w:val="28"/>
          <w:szCs w:val="28"/>
        </w:rPr>
        <w:t>Anal. Chem.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 46, 563.</w:t>
      </w:r>
    </w:p>
    <w:p w14:paraId="410818AD" w14:textId="3ED0D82C" w:rsidR="00DB6FAE" w:rsidRPr="00FB386F" w:rsidRDefault="00DB6FAE" w:rsidP="00DB6FAE">
      <w:pPr>
        <w:spacing w:before="100" w:beforeAutospacing="1" w:after="100" w:afterAutospacing="1" w:line="240" w:lineRule="auto"/>
        <w:rPr>
          <w:rFonts w:ascii="Palatino Linotype" w:hAnsi="Palatino Linotype"/>
          <w:sz w:val="28"/>
          <w:szCs w:val="28"/>
        </w:rPr>
      </w:pP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  <w:u w:val="single"/>
        </w:rPr>
        <w:t>Older, but good review of CPL: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br/>
        <w:t>Richardson, F. S. and Riehl (1977) </w:t>
      </w:r>
      <w:r w:rsidRPr="00FB386F">
        <w:rPr>
          <w:rFonts w:ascii="Palatino Linotype" w:eastAsia="Times New Roman" w:hAnsi="Palatino Linotype" w:cs="Lucida Sans Unicode"/>
          <w:i/>
          <w:iCs/>
          <w:color w:val="333333"/>
          <w:sz w:val="28"/>
          <w:szCs w:val="28"/>
        </w:rPr>
        <w:t>Chemical Reviews 6</w:t>
      </w:r>
      <w:r w:rsidRPr="00FB386F">
        <w:rPr>
          <w:rFonts w:ascii="Palatino Linotype" w:eastAsia="Times New Roman" w:hAnsi="Palatino Linotype" w:cs="Lucida Sans Unicode"/>
          <w:color w:val="333333"/>
          <w:sz w:val="28"/>
          <w:szCs w:val="28"/>
        </w:rPr>
        <w:t>, 773-792.</w:t>
      </w:r>
    </w:p>
    <w:sectPr w:rsidR="00DB6FAE" w:rsidRPr="00FB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03DF" w14:textId="77777777" w:rsidR="00416B37" w:rsidRDefault="00416B37" w:rsidP="00416B37">
      <w:pPr>
        <w:spacing w:after="0" w:line="240" w:lineRule="auto"/>
      </w:pPr>
      <w:r>
        <w:separator/>
      </w:r>
    </w:p>
  </w:endnote>
  <w:endnote w:type="continuationSeparator" w:id="0">
    <w:p w14:paraId="69246F86" w14:textId="77777777" w:rsidR="00416B37" w:rsidRDefault="00416B37" w:rsidP="0041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7918" w14:textId="77777777" w:rsidR="00416B37" w:rsidRDefault="00416B37" w:rsidP="00416B37">
      <w:pPr>
        <w:spacing w:after="0" w:line="240" w:lineRule="auto"/>
      </w:pPr>
      <w:r>
        <w:separator/>
      </w:r>
    </w:p>
  </w:footnote>
  <w:footnote w:type="continuationSeparator" w:id="0">
    <w:p w14:paraId="3D057717" w14:textId="77777777" w:rsidR="00416B37" w:rsidRDefault="00416B37" w:rsidP="00416B37">
      <w:pPr>
        <w:spacing w:after="0" w:line="240" w:lineRule="auto"/>
      </w:pPr>
      <w:r>
        <w:continuationSeparator/>
      </w:r>
    </w:p>
  </w:footnote>
  <w:footnote w:id="1">
    <w:p w14:paraId="78A27946" w14:textId="585F75F3" w:rsidR="00416B37" w:rsidRPr="00416B37" w:rsidRDefault="00416B37">
      <w:pPr>
        <w:pStyle w:val="FootnoteText"/>
        <w:rPr>
          <w:sz w:val="24"/>
          <w:szCs w:val="24"/>
        </w:rPr>
      </w:pPr>
      <w:r w:rsidRPr="00416B37">
        <w:rPr>
          <w:rStyle w:val="FootnoteReference"/>
          <w:sz w:val="24"/>
          <w:szCs w:val="24"/>
        </w:rPr>
        <w:footnoteRef/>
      </w:r>
      <w:r w:rsidRPr="00416B37">
        <w:rPr>
          <w:sz w:val="24"/>
          <w:szCs w:val="24"/>
        </w:rPr>
        <w:t xml:space="preserve"> A G-factor is the correction to the effect of the inherent bias of monochromators to the orientation of a polarizer. Every monochromator has some polarization bias. This bias causes changes in the transmitted intensities between the two orientations of the polarizer. When a measurement requires a change in the orientation of the polarizer, a correction factor must be applied to cancel this effect, i.e., the G-factor correction.</w:t>
      </w:r>
    </w:p>
  </w:footnote>
  <w:footnote w:id="2">
    <w:p w14:paraId="133C264E" w14:textId="7AA31B10" w:rsidR="005563F4" w:rsidRDefault="005563F4">
      <w:pPr>
        <w:pStyle w:val="FootnoteText"/>
      </w:pPr>
      <w:r>
        <w:rPr>
          <w:rStyle w:val="FootnoteReference"/>
        </w:rPr>
        <w:footnoteRef/>
      </w:r>
      <w:r>
        <w:t xml:space="preserve"> Strangely, Jasco returns CPL as “</w:t>
      </w:r>
      <w:proofErr w:type="spellStart"/>
      <w:r>
        <w:t>mdegs</w:t>
      </w:r>
      <w:proofErr w:type="spellEnd"/>
      <w:r>
        <w:t xml:space="preserve">,” which is utterly incorrect. Millidegrees is the unit used for circular dichroism, the absorbance analogue to CPL.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4537"/>
    <w:multiLevelType w:val="hybridMultilevel"/>
    <w:tmpl w:val="042E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3D"/>
    <w:rsid w:val="00091588"/>
    <w:rsid w:val="000A7512"/>
    <w:rsid w:val="001522CF"/>
    <w:rsid w:val="003A66DB"/>
    <w:rsid w:val="00412B25"/>
    <w:rsid w:val="00416B37"/>
    <w:rsid w:val="0044603D"/>
    <w:rsid w:val="005549AC"/>
    <w:rsid w:val="005563F4"/>
    <w:rsid w:val="005E1ED1"/>
    <w:rsid w:val="00701407"/>
    <w:rsid w:val="00734BAE"/>
    <w:rsid w:val="00811C36"/>
    <w:rsid w:val="008639AF"/>
    <w:rsid w:val="00D24956"/>
    <w:rsid w:val="00DB6FAE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347A"/>
  <w15:chartTrackingRefBased/>
  <w15:docId w15:val="{A00A2893-9E35-4829-AF72-B0D551A5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6D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B3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16B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6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B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B3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12B25"/>
    <w:rPr>
      <w:color w:val="808080"/>
    </w:rPr>
  </w:style>
  <w:style w:type="paragraph" w:styleId="NoSpacing">
    <w:name w:val="No Spacing"/>
    <w:uiPriority w:val="1"/>
    <w:qFormat/>
    <w:rsid w:val="00091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lisweb.com/~olisweb/literature/relatedpubs/Recording%20polarization%20of%20fluorescence%20spectrometer.%20Unique%20application%20of%20piezoelectric%20birefringence%20modul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pubs.acs.org/doi/abs/10.1021/ac60340a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530E-8C33-4950-A8A8-8861E773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DeSa Lorenz</dc:creator>
  <cp:keywords/>
  <dc:description/>
  <cp:lastModifiedBy>Julie Ann DeSa Lorenz</cp:lastModifiedBy>
  <cp:revision>7</cp:revision>
  <cp:lastPrinted>2022-12-08T20:31:00Z</cp:lastPrinted>
  <dcterms:created xsi:type="dcterms:W3CDTF">2022-12-05T00:59:00Z</dcterms:created>
  <dcterms:modified xsi:type="dcterms:W3CDTF">2022-12-09T16:39:00Z</dcterms:modified>
</cp:coreProperties>
</file>